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  <w:lang w:eastAsia="zh-CN"/>
        </w:rPr>
        <w:t>江苏华盛锂电材料股份有限公司——</w:t>
      </w:r>
      <w:r>
        <w:rPr>
          <w:rFonts w:hint="eastAsia" w:ascii="宋体" w:hAnsi="宋体" w:eastAsia="宋体" w:cs="宋体"/>
          <w:sz w:val="20"/>
          <w:szCs w:val="20"/>
          <w:lang w:val="en-US" w:eastAsia="zh-CN"/>
        </w:rPr>
        <w:t>2023年度土壤和地下水监测方案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0"/>
          <w:szCs w:val="2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0" w:firstLineChars="200"/>
        <w:textAlignment w:val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江苏华盛锂电材料股份有限公司2019年纳入土壤重点监管单位以来，每年对土壤和地下水履行自行监测义务，本次自行监测参考华盛锂电2019年土壤和地下水自行监测报告结合《工业企业土壤</w:t>
      </w:r>
      <w:r>
        <w:rPr>
          <w:rFonts w:hint="eastAsia" w:ascii="宋体" w:hAnsi="宋体" w:eastAsia="宋体" w:cs="宋体"/>
          <w:sz w:val="20"/>
          <w:szCs w:val="20"/>
          <w:lang w:eastAsia="zh-CN"/>
        </w:rPr>
        <w:t>和</w:t>
      </w:r>
      <w:r>
        <w:rPr>
          <w:rFonts w:hint="eastAsia" w:ascii="宋体" w:hAnsi="宋体" w:eastAsia="宋体" w:cs="宋体"/>
          <w:sz w:val="20"/>
          <w:szCs w:val="20"/>
        </w:rPr>
        <w:t>地下水自行监测技术指南》的要求选择土壤及地下水的检测因子如下：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表</w:t>
      </w:r>
      <w:r>
        <w:rPr>
          <w:rFonts w:hint="eastAsia" w:ascii="宋体" w:hAnsi="宋体" w:eastAsia="宋体" w:cs="宋体"/>
          <w:b/>
          <w:bCs/>
          <w:color w:val="000000"/>
          <w:spacing w:val="0"/>
          <w:w w:val="100"/>
          <w:position w:val="0"/>
          <w:sz w:val="20"/>
          <w:szCs w:val="20"/>
          <w:lang w:val="en-US" w:eastAsia="zh-CN" w:bidi="en-US"/>
        </w:rPr>
        <w:t>1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检测因子汇总</w:t>
      </w:r>
    </w:p>
    <w:tbl>
      <w:tblPr>
        <w:tblStyle w:val="3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154"/>
        <w:gridCol w:w="6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4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zh-TW" w:eastAsia="zh-CN" w:bidi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zh-TW" w:eastAsia="zh-CN" w:bidi="en-US"/>
              </w:rPr>
              <w:t>类别</w:t>
            </w:r>
          </w:p>
        </w:tc>
        <w:tc>
          <w:tcPr>
            <w:tcW w:w="3735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zh-TW" w:eastAsia="zh-TW" w:bidi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en-US" w:eastAsia="en-US" w:bidi="en-US"/>
              </w:rPr>
              <w:t>检测因子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64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zh-TW" w:eastAsia="zh-CN" w:bidi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zh-TW" w:eastAsia="zh-CN" w:bidi="en-US"/>
              </w:rPr>
              <w:t>土壤</w:t>
            </w:r>
          </w:p>
        </w:tc>
        <w:tc>
          <w:tcPr>
            <w:tcW w:w="3735" w:type="pct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zh-TW" w:eastAsia="zh-TW" w:bidi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en-US" w:eastAsia="en-US" w:bidi="en-US"/>
              </w:rPr>
              <w:t>pH值、镣、铜、镉、铅、铭（六价）、汞、碑、苯胺、2-氯酚、硝基苯、荼、苯并［a］蔥、蘑、苯并［b］荧蔥、苯并［k］荧蔥、苯并［a］就、前并［1,2,3-cd］花、二苯并［a,h］蔥、氯甲烷、氯乙烯、1,1-二氯乙烯、二氯甲烷、顺1,2-二氯乙烯、1,1-二氯乙烷、反1,2-二氯乙烯、氯仿、1,1,1-三氯乙烷、1,2-二氯乙烷、苯、四氯化碳、三氯乙烯、1,2-二氯丙烷、甲苯、1,1,2-三氯乙烷、四氯乙烯、氯苯、1,1,1,2-四氯乙烷、乙苯、（-间，对-二甲苯、苯乙烯、邻-二甲苯、1,1,2,2-四氯乙烷、1,2,3-三氯丙烷、1,2-二氯苯、1,4-二氯苯、总石油炷（G。〜C4。）、氟化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4" w:type="pct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zh-TW" w:eastAsia="zh-TW" w:bidi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en-US" w:eastAsia="en-US" w:bidi="en-US"/>
              </w:rPr>
              <w:t>地下水</w:t>
            </w:r>
          </w:p>
        </w:tc>
        <w:tc>
          <w:tcPr>
            <w:tcW w:w="3735" w:type="pct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en-US" w:eastAsia="en-US" w:bidi="en-US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  <w:shd w:val="clear" w:color="auto" w:fill="auto"/>
                <w:lang w:val="en-US" w:eastAsia="en-US" w:bidi="en-US"/>
              </w:rPr>
              <w:t>色、嗅和味、浑浊度、肉眼可见物、pH、总硬度、溶解性总固体、硫酸盐、氯化物、铁、镒、铜、锌、铝、挥发性酚类、阴离子表面活性剂、耗氧量、氨氮、硫化物、钠、总大肠菌群、菌落总数、亚硝酸盐、硝酸盐、氤化物、氟化物、碘化物、汞、碑、硒、镉、铭（六价）、铅、三氯甲烷、四氯化碳、苯、甲苯、二氯甲烷、总石油煙（G0-C4。）、磷酸盐。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000000"/>
          <w:spacing w:val="0"/>
          <w:w w:val="100"/>
          <w:positio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0"/>
          <w:w w:val="100"/>
          <w:position w:val="0"/>
          <w:sz w:val="20"/>
          <w:szCs w:val="20"/>
          <w:lang w:val="en-US" w:eastAsia="zh-CN"/>
        </w:rPr>
        <w:t>—厂点位设置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0" w:firstLineChars="200"/>
        <w:textAlignment w:val="auto"/>
        <w:rPr>
          <w:rFonts w:hint="default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en-US" w:eastAsia="zh-CN"/>
        </w:rPr>
        <w:t>本地块釆样布点依据《工业企业土壤和地下水自行监测技术指南》在华盛锂电一厂重点关注区域进行点位布设，计划在一厂区布设12土壤监测点位，6地下水监测点位，在厂区外布设2</w:t>
      </w:r>
      <w:bookmarkStart w:id="21" w:name="_GoBack"/>
      <w:bookmarkEnd w:id="21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en-US" w:eastAsia="zh-CN"/>
        </w:rPr>
        <w:t>个土壤的背景点位。</w:t>
      </w:r>
    </w:p>
    <w:p>
      <w:pPr>
        <w:pStyle w:val="5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60" w:line="24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表</w:t>
      </w:r>
      <w:r>
        <w:rPr>
          <w:rFonts w:hint="eastAsia" w:cs="宋体"/>
          <w:b/>
          <w:bCs/>
          <w:color w:val="000000"/>
          <w:spacing w:val="0"/>
          <w:w w:val="100"/>
          <w:position w:val="0"/>
          <w:sz w:val="20"/>
          <w:szCs w:val="20"/>
          <w:lang w:val="en-US" w:eastAsia="zh-CN" w:bidi="en-US"/>
        </w:rPr>
        <w:t>2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釆样点位设置</w:t>
      </w:r>
    </w:p>
    <w:tbl>
      <w:tblPr>
        <w:tblStyle w:val="2"/>
        <w:tblW w:w="8467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09"/>
        <w:gridCol w:w="1275"/>
        <w:gridCol w:w="1742"/>
        <w:gridCol w:w="1318"/>
        <w:gridCol w:w="1476"/>
        <w:gridCol w:w="144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605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w w:val="100"/>
                <w:position w:val="0"/>
                <w:sz w:val="20"/>
                <w:szCs w:val="20"/>
              </w:rPr>
              <w:t>编号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重点设施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布设位置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釆样深度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监测频次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583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事故应急池、初期雨水池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事故应急池西南角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一类单元⑤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619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包装车间、成品库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成品库东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0.2m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一类单元③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1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精馅车间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精馅车间东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一类单元③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90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合成车间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30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合成车间东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一类单元③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6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原料储罐区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20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原料储罐区东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3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丙类仓库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丙类仓库东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二类单元④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3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T7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甲类仓库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甲类仓库东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0.2m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二类单元①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62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T8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C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C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0.2m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二类单元①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6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T9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固废库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固废库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北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二类单元①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3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T10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固废库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固废库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北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0.2m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90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T11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固废库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固废库西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0.2m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6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T12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污水处理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20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污水处理西北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3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T13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0.2m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背景点位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6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T14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0.2m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背景点位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90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D1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污水处理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20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污水处理西北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6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D2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原料储罐区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20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原料储罐区东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69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D3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精馅车间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精馄车间东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6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D4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甲类仓库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30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甲类仓库东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二类单元①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90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D5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18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丙类仓库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丙类仓库东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二类单元④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55" w:hRule="exact"/>
          <w:jc w:val="center"/>
        </w:trPr>
        <w:tc>
          <w:tcPr>
            <w:tcW w:w="12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D6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事故应急池、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u w:val="none"/>
              </w:rPr>
              <w:t>初期雨水池</w:t>
            </w:r>
          </w:p>
        </w:tc>
        <w:tc>
          <w:tcPr>
            <w:tcW w:w="17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初期雨水池东南</w:t>
            </w:r>
          </w:p>
        </w:tc>
        <w:tc>
          <w:tcPr>
            <w:tcW w:w="1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 w:bidi="en-US"/>
              </w:rPr>
              <w:t>6.0m</w:t>
            </w:r>
          </w:p>
        </w:tc>
        <w:tc>
          <w:tcPr>
            <w:tcW w:w="14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right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一类单元⑤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en-US" w:eastAsia="zh-CN"/>
        </w:rPr>
        <w:t>(1)本次将华盛锂电一厂划分为5个重点单元，其中①④划分为二类单元，②③⑤划分为一类单元。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en-US" w:eastAsia="zh-CN"/>
        </w:rPr>
        <w:t>(2)表层土壤1次/年，深层土壤3次/年。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en-US" w:eastAsia="zh-CN"/>
        </w:rPr>
        <w:t>(3)地下水一类单元执行2次/年，二类单元执行1次/年。</w:t>
      </w:r>
      <w:r>
        <w:rPr>
          <w:rFonts w:hint="eastAsia" w:ascii="宋体" w:hAnsi="宋体" w:eastAsia="宋体" w:cs="宋体"/>
          <w:sz w:val="20"/>
          <w:szCs w:val="20"/>
        </w:rPr>
        <w:drawing>
          <wp:inline distT="0" distB="0" distL="114300" distR="114300">
            <wp:extent cx="4331970" cy="2942590"/>
            <wp:effectExtent l="0" t="0" r="11430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0"/>
          <w:szCs w:val="20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99" w:line="240" w:lineRule="auto"/>
        <w:textAlignment w:val="auto"/>
        <w:rPr>
          <w:rFonts w:hint="eastAsia" w:ascii="宋体" w:hAnsi="宋体" w:eastAsia="宋体" w:cs="宋体"/>
          <w:sz w:val="20"/>
          <w:szCs w:val="20"/>
        </w:rPr>
      </w:pPr>
    </w:p>
    <w:p>
      <w:pPr>
        <w:pStyle w:val="7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sz w:val="20"/>
          <w:szCs w:val="20"/>
        </w:rPr>
      </w:pPr>
      <w:bookmarkStart w:id="0" w:name="bookmark31"/>
      <w:bookmarkStart w:id="1" w:name="bookmark32"/>
      <w:bookmarkStart w:id="2" w:name="bookmark30"/>
      <w:r>
        <w:rPr>
          <w:rFonts w:hint="eastAsia" w:ascii="宋体" w:hAnsi="宋体" w:eastAsia="宋体" w:cs="宋体"/>
          <w:b/>
          <w:bCs/>
          <w:color w:val="000000"/>
          <w:spacing w:val="0"/>
          <w:w w:val="100"/>
          <w:position w:val="0"/>
          <w:sz w:val="20"/>
          <w:szCs w:val="20"/>
        </w:rPr>
        <w:t>二厂点位设置</w:t>
      </w:r>
      <w:bookmarkEnd w:id="0"/>
      <w:bookmarkEnd w:id="1"/>
      <w:bookmarkEnd w:id="2"/>
    </w:p>
    <w:p>
      <w:pPr>
        <w:pStyle w:val="8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240" w:line="240" w:lineRule="auto"/>
        <w:ind w:left="0" w:right="0"/>
        <w:jc w:val="both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eastAsia="zh-CN"/>
        </w:rPr>
      </w:pPr>
      <w:bookmarkStart w:id="3" w:name="bookmark34"/>
      <w:bookmarkStart w:id="4" w:name="bookmark35"/>
      <w:bookmarkStart w:id="5" w:name="bookmark33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本地块釆样布点依据《工业企业土壤和地下水自行监测技术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eastAsia="zh-CN"/>
        </w:rPr>
        <w:t>指南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》在华盛锂电——厂重点关注区域进行点位布设，计划在一厂区布设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10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土壤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eastAsia="zh-CN"/>
        </w:rPr>
        <w:t>检测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点位，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7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地下水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eastAsia="zh-CN"/>
        </w:rPr>
        <w:t>检测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点位</w:t>
      </w:r>
      <w:bookmarkEnd w:id="3"/>
      <w:bookmarkEnd w:id="4"/>
      <w:bookmarkEnd w:id="5"/>
      <w:r>
        <w:rPr>
          <w:rFonts w:hint="eastAsia" w:cs="宋体"/>
          <w:color w:val="000000"/>
          <w:spacing w:val="0"/>
          <w:w w:val="100"/>
          <w:position w:val="0"/>
          <w:sz w:val="20"/>
          <w:szCs w:val="20"/>
          <w:lang w:eastAsia="zh-CN"/>
        </w:rPr>
        <w:t>。</w:t>
      </w:r>
    </w:p>
    <w:p>
      <w:pPr>
        <w:pStyle w:val="8"/>
        <w:keepNext/>
        <w:keepLines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sz w:val="20"/>
          <w:szCs w:val="20"/>
        </w:rPr>
      </w:pPr>
      <w:bookmarkStart w:id="6" w:name="bookmark37"/>
      <w:bookmarkStart w:id="7" w:name="bookmark38"/>
      <w:bookmarkStart w:id="8" w:name="bookmark36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表</w:t>
      </w:r>
      <w:r>
        <w:rPr>
          <w:rFonts w:hint="eastAsia" w:cs="宋体"/>
          <w:b/>
          <w:bCs/>
          <w:color w:val="000000"/>
          <w:spacing w:val="0"/>
          <w:w w:val="100"/>
          <w:position w:val="0"/>
          <w:sz w:val="20"/>
          <w:szCs w:val="20"/>
          <w:lang w:val="en-US" w:eastAsia="zh-CN" w:bidi="en-US"/>
        </w:rPr>
        <w:t>3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釆样点位设置</w:t>
      </w:r>
      <w:bookmarkEnd w:id="6"/>
      <w:bookmarkEnd w:id="7"/>
      <w:bookmarkEnd w:id="8"/>
    </w:p>
    <w:tbl>
      <w:tblPr>
        <w:tblStyle w:val="2"/>
        <w:tblW w:w="8654" w:type="dxa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60"/>
        <w:gridCol w:w="1303"/>
        <w:gridCol w:w="1627"/>
        <w:gridCol w:w="1418"/>
        <w:gridCol w:w="1584"/>
        <w:gridCol w:w="1462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4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编号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20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重点设施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36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布设位置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釆样深度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30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监测频次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备注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T1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配电间西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0.2m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厂区内背景点位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3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T2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车间西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62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T3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车间北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3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T4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车间、罐区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罐区南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0.2m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9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T5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车间南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0.2m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T6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洗桶车间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洗桶车间南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0.2m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3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T7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洗桶车间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洗桶车间北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3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T8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污水处理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污水处理东北角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一类单元③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zh-CN"/>
              </w:rPr>
              <w:t>T9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应急池、雨水池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应急池西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一类单元③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2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T10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甲类仓库、危废仓库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危废仓库南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一类单元④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634" w:hRule="exac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D1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/</w:t>
            </w:r>
          </w:p>
        </w:tc>
        <w:tc>
          <w:tcPr>
            <w:tcW w:w="162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配电间西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W w:w="14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厂内背景点位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590" w:hRule="exac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D2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</w:t>
            </w:r>
          </w:p>
        </w:tc>
        <w:tc>
          <w:tcPr>
            <w:tcW w:w="162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车间西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年</w:t>
            </w:r>
          </w:p>
        </w:tc>
        <w:tc>
          <w:tcPr>
            <w:tcW w:w="14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583" w:hRule="exac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D3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</w:t>
            </w:r>
          </w:p>
        </w:tc>
        <w:tc>
          <w:tcPr>
            <w:tcW w:w="162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车间北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583" w:hRule="exac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D4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洗桶车间</w:t>
            </w:r>
          </w:p>
        </w:tc>
        <w:tc>
          <w:tcPr>
            <w:tcW w:w="162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洗桶车间南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一类单元②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576" w:hRule="exac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D5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污水处理</w:t>
            </w:r>
          </w:p>
        </w:tc>
        <w:tc>
          <w:tcPr>
            <w:tcW w:w="162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污水处理东北角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一类单元③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569" w:hRule="exac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D6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车间、罐区</w:t>
            </w:r>
          </w:p>
        </w:tc>
        <w:tc>
          <w:tcPr>
            <w:tcW w:w="1627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车间、罐区南侧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6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一类单元③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wAfter w:w="0" w:type="auto"/>
          <w:trHeight w:val="634" w:hRule="exact"/>
          <w:jc w:val="center"/>
        </w:trPr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D7</w:t>
            </w:r>
          </w:p>
        </w:tc>
        <w:tc>
          <w:tcPr>
            <w:tcW w:w="1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甲类仓库、危废仓库</w:t>
            </w:r>
          </w:p>
        </w:tc>
        <w:tc>
          <w:tcPr>
            <w:tcW w:w="1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危废仓库北侧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  <w:lang w:val="en-US" w:eastAsia="en-US"/>
              </w:rPr>
              <w:t>6.0m</w:t>
            </w:r>
          </w:p>
        </w:tc>
        <w:tc>
          <w:tcPr>
            <w:tcW w:w="1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次/年</w:t>
            </w:r>
          </w:p>
        </w:tc>
        <w:tc>
          <w:tcPr>
            <w:tcW w:w="1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240" w:lineRule="auto"/>
              <w:ind w:left="0" w:right="0" w:firstLine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pacing w:val="0"/>
                <w:w w:val="100"/>
                <w:position w:val="0"/>
                <w:sz w:val="20"/>
                <w:szCs w:val="20"/>
              </w:rPr>
              <w:t>一类单元④</w:t>
            </w:r>
          </w:p>
        </w:tc>
      </w:tr>
    </w:tbl>
    <w:p>
      <w:pPr>
        <w:pStyle w:val="6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</w:pPr>
      <w:bookmarkStart w:id="9" w:name="bookmark44"/>
      <w:bookmarkStart w:id="10" w:name="bookmark42"/>
      <w:bookmarkStart w:id="11" w:name="bookmark43"/>
      <w:bookmarkStart w:id="12" w:name="bookmark45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zh-CN" w:eastAsia="zh-CN"/>
        </w:rPr>
        <w:t>（</w:t>
      </w:r>
      <w:bookmarkEnd w:id="9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zh-CN" w:eastAsia="zh-CN"/>
        </w:rPr>
        <w:t>1）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zh-CN" w:eastAsia="zh-CN"/>
        </w:rPr>
        <w:tab/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本次将华盛锂电二厂划分为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  <w:lang w:val="zh-CN" w:eastAsia="zh-CN"/>
        </w:rPr>
        <w:t>3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个重点单元，分别为①②③④单元，均划分为一类单元。（各车间均设置污水收集池）</w:t>
      </w:r>
      <w:bookmarkEnd w:id="10"/>
      <w:bookmarkEnd w:id="11"/>
      <w:bookmarkEnd w:id="12"/>
    </w:p>
    <w:p>
      <w:pPr>
        <w:pStyle w:val="6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</w:pPr>
      <w:bookmarkStart w:id="13" w:name="bookmark48"/>
      <w:bookmarkStart w:id="14" w:name="bookmark46"/>
      <w:bookmarkStart w:id="15" w:name="bookmark49"/>
      <w:bookmarkStart w:id="16" w:name="bookmark47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（</w:t>
      </w:r>
      <w:bookmarkEnd w:id="13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2）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表层土壤1次/年，深层土壤3次/年。</w:t>
      </w:r>
      <w:bookmarkEnd w:id="14"/>
      <w:bookmarkEnd w:id="15"/>
      <w:bookmarkEnd w:id="16"/>
    </w:p>
    <w:p>
      <w:pPr>
        <w:pStyle w:val="6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</w:pPr>
      <w:bookmarkStart w:id="17" w:name="bookmark52"/>
      <w:bookmarkStart w:id="18" w:name="bookmark50"/>
      <w:bookmarkStart w:id="19" w:name="bookmark51"/>
      <w:bookmarkStart w:id="20" w:name="bookmark53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（</w:t>
      </w:r>
      <w:bookmarkEnd w:id="17"/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3）</w:t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ab/>
      </w: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t>地下水一类单元执行2次/年，二类单元执行1次/年。</w:t>
      </w:r>
      <w:bookmarkEnd w:id="18"/>
      <w:bookmarkEnd w:id="19"/>
      <w:bookmarkEnd w:id="20"/>
    </w:p>
    <w:p>
      <w:pPr>
        <w:pStyle w:val="6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</w:pPr>
    </w:p>
    <w:p>
      <w:pPr>
        <w:pStyle w:val="6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</w:pPr>
    </w:p>
    <w:p>
      <w:pPr>
        <w:pStyle w:val="6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sz w:val="20"/>
          <w:szCs w:val="20"/>
          <w:lang w:val="en-US" w:eastAsia="zh-CN"/>
        </w:rPr>
      </w:pPr>
      <w:r>
        <w:rPr>
          <w:rFonts w:hint="eastAsia" w:ascii="宋体" w:hAnsi="宋体" w:eastAsia="宋体" w:cs="宋体"/>
          <w:color w:val="000000"/>
          <w:spacing w:val="0"/>
          <w:w w:val="100"/>
          <w:position w:val="0"/>
          <w:sz w:val="20"/>
          <w:szCs w:val="20"/>
        </w:rPr>
        <w:drawing>
          <wp:inline distT="0" distB="0" distL="114300" distR="114300">
            <wp:extent cx="5533390" cy="3757930"/>
            <wp:effectExtent l="0" t="0" r="1016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5584" behindDoc="1" locked="0" layoutInCell="1" allowOverlap="1">
              <wp:simplePos x="0" y="0"/>
              <wp:positionH relativeFrom="page">
                <wp:posOffset>3501390</wp:posOffset>
              </wp:positionH>
              <wp:positionV relativeFrom="page">
                <wp:posOffset>9937115</wp:posOffset>
              </wp:positionV>
              <wp:extent cx="384175" cy="10541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175" cy="1054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第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7"/>
                              <w:szCs w:val="17"/>
                            </w:rPr>
                            <w:fldChar w:fldCharType="end"/>
                          </w: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18"/>
                              <w:szCs w:val="18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" o:spid="_x0000_s1026" o:spt="202" type="#_x0000_t202" style="position:absolute;left:0pt;margin-left:275.7pt;margin-top:782.45pt;height:8.3pt;width:30.25pt;mso-position-horizontal-relative:page;mso-position-vertical-relative:page;mso-wrap-style:none;z-index:-440400896;mso-width-relative:page;mso-height-relative:page;" filled="f" stroked="f" coordsize="21600,21600" o:gfxdata="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JC0kNbYAAAADQEAAA8AAAAAAAAAAQAgAAAAIgAAAGRycy9kb3du&#10;cmV2LnhtbFBLAQIUABQAAAAIAIdO4kCZpSezjQEAACEDAAAOAAAAAAAAAAEAIAAAACcBAABkcnMv&#10;ZTJvRG9jLnhtbFBLBQYAAAAABgAGAFkBAAAm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第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7"/>
                        <w:szCs w:val="17"/>
                      </w:rPr>
                      <w:fldChar w:fldCharType="end"/>
                    </w: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sz w:val="18"/>
                        <w:szCs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95BFA"/>
    <w:rsid w:val="28CE5BAA"/>
    <w:rsid w:val="39FD25CE"/>
    <w:rsid w:val="41767759"/>
    <w:rsid w:val="54595BFA"/>
    <w:rsid w:val="5AF33919"/>
    <w:rsid w:val="5FA34D03"/>
    <w:rsid w:val="6A8F6861"/>
    <w:rsid w:val="6BA92E11"/>
    <w:rsid w:val="72DE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Body text|1"/>
    <w:basedOn w:val="1"/>
    <w:uiPriority w:val="0"/>
    <w:pPr>
      <w:widowControl w:val="0"/>
      <w:shd w:val="clear" w:color="auto" w:fill="auto"/>
      <w:spacing w:after="240" w:line="449" w:lineRule="auto"/>
      <w:ind w:firstLine="400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6">
    <w:name w:val="Oth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7">
    <w:name w:val="Heading #2|1"/>
    <w:basedOn w:val="1"/>
    <w:uiPriority w:val="0"/>
    <w:pPr>
      <w:widowControl w:val="0"/>
      <w:shd w:val="clear" w:color="auto" w:fill="auto"/>
      <w:spacing w:line="331" w:lineRule="auto"/>
      <w:outlineLvl w:val="1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8">
    <w:name w:val="Heading #3|1"/>
    <w:basedOn w:val="1"/>
    <w:uiPriority w:val="0"/>
    <w:pPr>
      <w:widowControl w:val="0"/>
      <w:shd w:val="clear" w:color="auto" w:fill="auto"/>
      <w:spacing w:after="120" w:line="482" w:lineRule="exact"/>
      <w:ind w:firstLine="680"/>
      <w:outlineLvl w:val="2"/>
    </w:pPr>
    <w:rPr>
      <w:rFonts w:ascii="宋体" w:hAnsi="宋体" w:eastAsia="宋体" w:cs="宋体"/>
      <w:sz w:val="22"/>
      <w:szCs w:val="22"/>
      <w:u w:val="none"/>
      <w:shd w:val="clear" w:color="auto" w:fill="auto"/>
      <w:lang w:val="zh-TW" w:eastAsia="zh-TW" w:bidi="zh-TW"/>
    </w:rPr>
  </w:style>
  <w:style w:type="paragraph" w:customStyle="1" w:styleId="9">
    <w:name w:val="Header or footer|2"/>
    <w:basedOn w:val="1"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0">
    <w:name w:val="Header or footer|1"/>
    <w:basedOn w:val="1"/>
    <w:uiPriority w:val="0"/>
    <w:pPr>
      <w:widowControl w:val="0"/>
      <w:shd w:val="clear" w:color="auto" w:fill="auto"/>
    </w:pPr>
    <w:rPr>
      <w:rFonts w:ascii="宋体" w:hAnsi="宋体" w:eastAsia="宋体" w:cs="宋体"/>
      <w:sz w:val="18"/>
      <w:szCs w:val="18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2023-01-30T07:03:00Z</dcterms:created>
  <dc:creator>西</dc:creator>
  <cp:lastModifiedBy>西</cp:lastModifiedBy>
  <dcterms:modified xsi:type="dcterms:W3CDTF">2023-01-30T07:50:07Z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